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48" w:rsidRPr="00E428CF" w:rsidRDefault="00D97B48">
      <w:pPr>
        <w:pStyle w:val="ConsPlusTitle"/>
        <w:jc w:val="center"/>
        <w:outlineLvl w:val="0"/>
        <w:rPr>
          <w:rFonts w:ascii="Times New Roman" w:hAnsi="Times New Roman" w:cs="Times New Roman"/>
          <w:sz w:val="24"/>
          <w:szCs w:val="24"/>
        </w:rPr>
      </w:pPr>
      <w:bookmarkStart w:id="0" w:name="_GoBack"/>
      <w:r w:rsidRPr="00E428CF">
        <w:rPr>
          <w:rFonts w:ascii="Times New Roman" w:hAnsi="Times New Roman" w:cs="Times New Roman"/>
          <w:sz w:val="24"/>
          <w:szCs w:val="24"/>
        </w:rPr>
        <w:t>МИНИСТЕРСТВО ТРУДА И СОЦИАЛЬНОЙ ЗАЩИТЫ РОССИЙСКОЙ ФЕДЕРАЦИИ</w:t>
      </w:r>
    </w:p>
    <w:p w:rsidR="00D97B48" w:rsidRPr="00E428CF" w:rsidRDefault="00D97B48">
      <w:pPr>
        <w:pStyle w:val="ConsPlusTitle"/>
        <w:jc w:val="center"/>
        <w:rPr>
          <w:rFonts w:ascii="Times New Roman" w:hAnsi="Times New Roman" w:cs="Times New Roman"/>
          <w:sz w:val="24"/>
          <w:szCs w:val="24"/>
        </w:rPr>
      </w:pP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ОРГАНАХ ГОСУДАРСТВЕННОЙ ВЛАСТИ СУБЪЕКТОВ РОССИЙСКОЙ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ВНЕБЮДЖЕТНЫХ ФОНДАХ И ИНЫХ ОРГАНИЗАЦИЯХ, ОСУЩЕСТВЛЯЮЩИХ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НА ВЫЯВЛЕНИЕ ЛИЧНОЙ ЗАИНТЕРЕСОВАННОСТИ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ТАКИХ ЗАКУПОК, КОТОРАЯ ПРИВОДИТ ИЛИ МОЖЕТ ПРИВЕСТИ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1" w:name="P48"/>
      <w:bookmarkEnd w:id="1"/>
      <w:r w:rsidRPr="00E428CF">
        <w:rPr>
          <w:rFonts w:ascii="Times New Roman" w:hAnsi="Times New Roman" w:cs="Times New Roman"/>
          <w:sz w:val="24"/>
          <w:szCs w:val="24"/>
        </w:rPr>
        <w:t>2. Организация работы по выявлению личной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Pr="00E428CF">
        <w:rPr>
          <w:rFonts w:ascii="Times New Roman" w:hAnsi="Times New Roman" w:cs="Times New Roman"/>
          <w:sz w:val="24"/>
          <w:szCs w:val="24"/>
        </w:rPr>
        <w:lastRenderedPageBreak/>
        <w:t>органа (организации) и (или) уполномоченным им лицом.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97B48" w:rsidRPr="00E428CF" w:rsidRDefault="00D97B48">
      <w:pPr>
        <w:pStyle w:val="ConsPlusNormal"/>
        <w:spacing w:before="220"/>
        <w:ind w:firstLine="540"/>
        <w:jc w:val="both"/>
        <w:rPr>
          <w:rFonts w:ascii="Times New Roman" w:hAnsi="Times New Roman" w:cs="Times New Roman"/>
          <w:sz w:val="24"/>
          <w:szCs w:val="24"/>
        </w:rPr>
      </w:pPr>
      <w:bookmarkStart w:id="2" w:name="P57"/>
      <w:bookmarkEnd w:id="2"/>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руководитель заказчика;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 типовым ситуациям, применимым непосредственно для целей закупок, могут относиться следующие: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3" w:name="P96"/>
      <w:bookmarkEnd w:id="3"/>
      <w:r w:rsidRPr="00E428CF">
        <w:rPr>
          <w:rFonts w:ascii="Times New Roman" w:hAnsi="Times New Roman" w:cs="Times New Roman"/>
          <w:sz w:val="24"/>
          <w:szCs w:val="24"/>
        </w:rPr>
        <w:t>4. Аналитические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bookmarkStart w:id="4" w:name="P98"/>
      <w:bookmarkEnd w:id="4"/>
      <w:r w:rsidRPr="00E428CF">
        <w:rPr>
          <w:rFonts w:ascii="Times New Roman" w:hAnsi="Times New Roman" w:cs="Times New Roman"/>
          <w:sz w:val="24"/>
          <w:szCs w:val="24"/>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rsidR="00D97B48" w:rsidRPr="00E428CF" w:rsidRDefault="00D97B48">
      <w:pPr>
        <w:pStyle w:val="ConsPlusNormal"/>
        <w:spacing w:before="220"/>
        <w:ind w:firstLine="540"/>
        <w:jc w:val="both"/>
        <w:rPr>
          <w:rFonts w:ascii="Times New Roman" w:hAnsi="Times New Roman" w:cs="Times New Roman"/>
          <w:sz w:val="24"/>
          <w:szCs w:val="24"/>
        </w:rPr>
      </w:pPr>
      <w:bookmarkStart w:id="5" w:name="P105"/>
      <w:bookmarkEnd w:id="5"/>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Например, информация, содержащаяся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&lt;4&gt; Под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полученных по результатам аналитической работы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(далее - проверка). &lt;6&gt;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6" w:name="P212"/>
      <w:bookmarkEnd w:id="6"/>
      <w:r w:rsidRPr="00E428CF">
        <w:rPr>
          <w:rFonts w:ascii="Times New Roman" w:hAnsi="Times New Roman" w:cs="Times New Roman"/>
          <w:sz w:val="24"/>
          <w:szCs w:val="24"/>
        </w:rPr>
        <w:t>5. Особенности построения работы в отдельных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категориях организаций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5.5. В основу рассматриваемой работы в отдельных категориях организаций могут быть положены следующие принципы: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индивидуальное рассмотрение и оценка репутационных рисков для организации при выявлении личной заинтересованности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t>Приложение</w:t>
      </w:r>
    </w:p>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340"/>
        <w:gridCol w:w="4195"/>
      </w:tblGrid>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от</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jc w:val="center"/>
              <w:rPr>
                <w:rFonts w:ascii="Times New Roman" w:hAnsi="Times New Roman" w:cs="Times New Roman"/>
                <w:sz w:val="24"/>
                <w:szCs w:val="24"/>
              </w:rPr>
            </w:pPr>
            <w:bookmarkStart w:id="7" w:name="P271"/>
            <w:bookmarkEnd w:id="7"/>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tc>
          <w:tcPr>
            <w:tcW w:w="9071"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0"/>
        <w:gridCol w:w="1049"/>
        <w:gridCol w:w="1050"/>
      </w:tblGrid>
      <w:tr w:rsidR="00D97B48" w:rsidRPr="00E428CF">
        <w:tc>
          <w:tcPr>
            <w:tcW w:w="6960" w:type="dxa"/>
            <w:vAlign w:val="center"/>
          </w:tcPr>
          <w:p w:rsidR="00D97B48" w:rsidRPr="00E428CF" w:rsidRDefault="00D97B48">
            <w:pPr>
              <w:pStyle w:val="ConsPlusNormal"/>
              <w:rPr>
                <w:rFonts w:ascii="Times New Roman" w:hAnsi="Times New Roman" w:cs="Times New Roman"/>
                <w:sz w:val="24"/>
                <w:szCs w:val="24"/>
              </w:rPr>
            </w:pPr>
          </w:p>
        </w:tc>
        <w:tc>
          <w:tcPr>
            <w:tcW w:w="1049"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финансовыми инструментами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Имеете ли Вы или Ваши родственники какие-либо имущественные обязательства перед какой-либо организацией</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97B48" w:rsidRPr="00E428CF">
        <w:tc>
          <w:tcPr>
            <w:tcW w:w="9071" w:type="dxa"/>
            <w:tcBorders>
              <w:top w:val="single" w:sz="4" w:space="0" w:color="auto"/>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single" w:sz="4" w:space="0" w:color="auto"/>
              <w:right w:val="single" w:sz="4" w:space="0" w:color="auto"/>
            </w:tcBorders>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bookmarkStart w:id="8" w:name="P337"/>
      <w:bookmarkEnd w:id="8"/>
      <w:r w:rsidRPr="00E428CF">
        <w:rPr>
          <w:rFonts w:ascii="Times New Roman" w:hAnsi="Times New Roman" w:cs="Times New Roman"/>
          <w:sz w:val="24"/>
          <w:szCs w:val="24"/>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D97B48" w:rsidRPr="00E428CF" w:rsidRDefault="00D97B48">
      <w:pPr>
        <w:pStyle w:val="ConsPlusNormal"/>
        <w:spacing w:before="220"/>
        <w:ind w:firstLine="540"/>
        <w:jc w:val="both"/>
        <w:rPr>
          <w:rFonts w:ascii="Times New Roman" w:hAnsi="Times New Roman" w:cs="Times New Roman"/>
          <w:sz w:val="24"/>
          <w:szCs w:val="24"/>
        </w:rPr>
      </w:pPr>
      <w:bookmarkStart w:id="9" w:name="P340"/>
      <w:bookmarkEnd w:id="9"/>
      <w:r w:rsidRPr="00E428CF">
        <w:rPr>
          <w:rFonts w:ascii="Times New Roman" w:hAnsi="Times New Roman" w:cs="Times New Roman"/>
          <w:sz w:val="24"/>
          <w:szCs w:val="24"/>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bookmarkEnd w:id="0"/>
    <w:p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7B48"/>
    <w:rsid w:val="001746D5"/>
    <w:rsid w:val="00240052"/>
    <w:rsid w:val="007A4C4F"/>
    <w:rsid w:val="00B621B6"/>
    <w:rsid w:val="00C11A98"/>
    <w:rsid w:val="00D97B48"/>
    <w:rsid w:val="00E42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8" Type="http://schemas.microsoft.com/office/2007/relationships/stylesWithEffects" Target="stylesWithEffects.xm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9470</Words>
  <Characters>53979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2021-11-15T12:53:00Z</cp:lastPrinted>
  <dcterms:created xsi:type="dcterms:W3CDTF">2023-11-15T10:40:00Z</dcterms:created>
  <dcterms:modified xsi:type="dcterms:W3CDTF">2023-11-15T10:40:00Z</dcterms:modified>
</cp:coreProperties>
</file>